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Research on bullying has increased in the last decade; however, this research rarely focuses on bullying of special needs children and the effect it has on families. .  This study will add to the existing literature by addressing how bullying affects the special needs population in a southern community. In considering the unique caregiving challenges that special needs families face, this research will also examine whether bullying brings added stress to families and caregivers and whether they  believe that the community can bring awareness, growth, and a sense of belonging to their children and family.  Parents or caregivers attending a local rehabilitation center completed a survey regarding their children’s experiences with bullying. Findings suggest that parents and caregivers of children of all ages are susceptible to bullying.  This bullying affects the families, the child, and the caregiver bringing added stress, which affects all age groups.  Further respondents indicated that they believed that communities could offer more social interaction and awareness outside of the schools.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